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Body A"/>
        <w:pBdr>
          <w:top w:val="nil"/>
          <w:left w:val="nil"/>
          <w:bottom w:val="single" w:color="808080" w:sz="4" w:space="0" w:shadow="0" w:frame="0"/>
          <w:right w:val="nil"/>
        </w:pBdr>
        <w:suppressAutoHyphens w:val="1"/>
        <w:jc w:val="center"/>
        <w:rPr>
          <w:b w:val="1"/>
          <w:bCs w:val="1"/>
          <w:i w:val="1"/>
          <w:iCs w:val="1"/>
          <w:sz w:val="28"/>
          <w:szCs w:val="28"/>
          <w:u w:color="000000"/>
        </w:rPr>
      </w:pPr>
      <w:r>
        <w:rPr>
          <w:b w:val="1"/>
          <w:bCs w:val="1"/>
          <w:i w:val="1"/>
          <w:iCs w:val="1"/>
          <w:sz w:val="28"/>
          <w:szCs w:val="28"/>
          <w:u w:color="000000"/>
          <w:rtl w:val="0"/>
          <w:lang w:val="ru-RU"/>
        </w:rPr>
        <w:t xml:space="preserve">   “Компания”  ЕООД</w:t>
      </w:r>
    </w:p>
    <w:p>
      <w:pPr>
        <w:pStyle w:val="Body A"/>
        <w:widowControl w:val="0"/>
        <w:suppressAutoHyphens w:val="1"/>
        <w:jc w:val="center"/>
        <w:rPr>
          <w:b w:val="1"/>
          <w:bCs w:val="1"/>
          <w:sz w:val="28"/>
          <w:szCs w:val="28"/>
          <w:u w:color="000000"/>
        </w:rPr>
      </w:pPr>
      <w:r>
        <w:rPr>
          <w:b w:val="1"/>
          <w:bCs w:val="1"/>
          <w:sz w:val="28"/>
          <w:szCs w:val="28"/>
          <w:u w:color="000000"/>
          <w:rtl w:val="0"/>
          <w:lang w:val="ru-RU"/>
        </w:rPr>
        <w:t xml:space="preserve">          </w:t>
      </w:r>
      <w:r>
        <w:rPr>
          <w:b w:val="1"/>
          <w:bCs w:val="1"/>
          <w:sz w:val="28"/>
          <w:szCs w:val="28"/>
          <w:u w:color="000000"/>
          <w:rtl w:val="0"/>
        </w:rPr>
        <w:t xml:space="preserve"> </w:t>
      </w:r>
      <w:r>
        <w:rPr>
          <w:b w:val="1"/>
          <w:bCs w:val="1"/>
          <w:sz w:val="28"/>
          <w:szCs w:val="28"/>
          <w:u w:color="000000"/>
          <w:rtl w:val="0"/>
          <w:lang w:val="ru-RU"/>
        </w:rPr>
        <w:t xml:space="preserve"> </w:t>
      </w:r>
    </w:p>
    <w:p>
      <w:pPr>
        <w:pStyle w:val="Body A"/>
        <w:suppressAutoHyphens w:val="1"/>
        <w:rPr>
          <w:sz w:val="28"/>
          <w:szCs w:val="28"/>
          <w:u w:color="000000"/>
        </w:rPr>
      </w:pPr>
      <w:r>
        <w:rPr>
          <w:sz w:val="28"/>
          <w:szCs w:val="28"/>
          <w:u w:color="000000"/>
          <w:lang w:val="ru-RU"/>
        </w:rPr>
        <w:tab/>
        <w:tab/>
      </w:r>
    </w:p>
    <w:p>
      <w:pPr>
        <w:pStyle w:val="Body A"/>
        <w:suppressAutoHyphens w:val="1"/>
        <w:rPr>
          <w:sz w:val="28"/>
          <w:szCs w:val="28"/>
          <w:u w:color="000000"/>
        </w:rPr>
      </w:pPr>
    </w:p>
    <w:p>
      <w:pPr>
        <w:pStyle w:val="Body A"/>
        <w:suppressAutoHyphens w:val="1"/>
        <w:jc w:val="center"/>
        <w:rPr>
          <w:sz w:val="28"/>
          <w:szCs w:val="28"/>
          <w:u w:color="000000"/>
          <w:lang w:val="ru-RU"/>
        </w:rPr>
      </w:pPr>
    </w:p>
    <w:p>
      <w:pPr>
        <w:pStyle w:val="Body A"/>
        <w:suppressAutoHyphens w:val="1"/>
        <w:jc w:val="center"/>
        <w:rPr>
          <w:sz w:val="28"/>
          <w:szCs w:val="28"/>
          <w:u w:color="000000"/>
        </w:rPr>
      </w:pPr>
      <w:r>
        <w:rPr>
          <w:b w:val="1"/>
          <w:bCs w:val="1"/>
          <w:sz w:val="28"/>
          <w:szCs w:val="28"/>
          <w:u w:color="000000"/>
          <w:rtl w:val="0"/>
          <w:lang w:val="ru-RU"/>
        </w:rPr>
        <w:t>ЗАПОВЕД  №</w:t>
      </w:r>
      <w:r>
        <w:rPr>
          <w:sz w:val="28"/>
          <w:szCs w:val="28"/>
          <w:u w:color="000000"/>
          <w:rtl w:val="0"/>
          <w:lang w:val="ru-RU"/>
        </w:rPr>
        <w:t xml:space="preserve"> </w:t>
      </w:r>
      <w:r>
        <w:rPr>
          <w:sz w:val="28"/>
          <w:szCs w:val="28"/>
          <w:u w:color="000000"/>
          <w:rtl w:val="0"/>
        </w:rPr>
        <w:t>...........</w:t>
      </w:r>
      <w:r>
        <w:rPr>
          <w:sz w:val="28"/>
          <w:szCs w:val="28"/>
          <w:u w:color="000000"/>
          <w:rtl w:val="0"/>
          <w:lang w:val="ru-RU"/>
        </w:rPr>
        <w:t xml:space="preserve">/ </w:t>
      </w:r>
      <w:r>
        <w:rPr>
          <w:sz w:val="28"/>
          <w:szCs w:val="28"/>
          <w:u w:color="000000"/>
          <w:rtl w:val="0"/>
        </w:rPr>
        <w:t>……………</w:t>
      </w:r>
      <w:r>
        <w:rPr>
          <w:sz w:val="28"/>
          <w:szCs w:val="28"/>
          <w:u w:color="000000"/>
          <w:rtl w:val="0"/>
          <w:lang w:val="ru-RU"/>
        </w:rPr>
        <w:t>20</w:t>
      </w:r>
      <w:r>
        <w:rPr>
          <w:sz w:val="28"/>
          <w:szCs w:val="28"/>
          <w:u w:color="000000"/>
          <w:rtl w:val="0"/>
          <w:lang w:val="ru-RU"/>
        </w:rPr>
        <w:t>… год</w:t>
      </w:r>
      <w:r>
        <w:rPr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Body A"/>
        <w:suppressAutoHyphens w:val="1"/>
        <w:jc w:val="center"/>
        <w:rPr>
          <w:sz w:val="28"/>
          <w:szCs w:val="28"/>
          <w:u w:color="000000"/>
          <w:lang w:val="ru-RU"/>
        </w:rPr>
      </w:pPr>
    </w:p>
    <w:p>
      <w:pPr>
        <w:pStyle w:val="Body A"/>
        <w:suppressAutoHyphens w:val="1"/>
        <w:jc w:val="center"/>
        <w:rPr>
          <w:sz w:val="28"/>
          <w:szCs w:val="28"/>
          <w:u w:color="000000"/>
        </w:rPr>
      </w:pPr>
      <w:r>
        <w:rPr>
          <w:sz w:val="28"/>
          <w:szCs w:val="28"/>
          <w:u w:color="000000"/>
          <w:rtl w:val="0"/>
          <w:lang w:val="ru-RU"/>
        </w:rPr>
        <w:t>Относно</w:t>
      </w:r>
      <w:r>
        <w:rPr>
          <w:sz w:val="28"/>
          <w:szCs w:val="28"/>
          <w:u w:color="000000"/>
          <w:rtl w:val="0"/>
          <w:lang w:val="ru-RU"/>
        </w:rPr>
        <w:t xml:space="preserve">: </w:t>
      </w:r>
      <w:r>
        <w:rPr>
          <w:sz w:val="28"/>
          <w:szCs w:val="28"/>
          <w:u w:color="000000"/>
          <w:rtl w:val="0"/>
          <w:lang w:val="ru-RU"/>
        </w:rPr>
        <w:t>Определяне на отговорно лице за воденето на регистър за инциденти</w:t>
      </w:r>
    </w:p>
    <w:p>
      <w:pPr>
        <w:pStyle w:val="Body A"/>
        <w:suppressAutoHyphens w:val="1"/>
        <w:jc w:val="center"/>
        <w:rPr>
          <w:sz w:val="28"/>
          <w:szCs w:val="28"/>
          <w:u w:color="000000"/>
        </w:rPr>
      </w:pPr>
    </w:p>
    <w:p>
      <w:pPr>
        <w:pStyle w:val="Body A"/>
        <w:suppressAutoHyphens w:val="1"/>
        <w:spacing w:line="200" w:lineRule="atLeast"/>
        <w:jc w:val="both"/>
        <w:rPr>
          <w:sz w:val="28"/>
          <w:szCs w:val="28"/>
          <w:u w:color="000000"/>
        </w:rPr>
      </w:pPr>
      <w:r>
        <w:rPr>
          <w:sz w:val="28"/>
          <w:szCs w:val="28"/>
          <w:u w:color="000000"/>
          <w:rtl w:val="0"/>
        </w:rPr>
        <w:tab/>
        <w:t>На основание чл</w:t>
      </w:r>
      <w:r>
        <w:rPr>
          <w:sz w:val="28"/>
          <w:szCs w:val="28"/>
          <w:u w:color="000000"/>
          <w:rtl w:val="0"/>
        </w:rPr>
        <w:t xml:space="preserve">. 275, </w:t>
      </w:r>
      <w:r>
        <w:rPr>
          <w:sz w:val="28"/>
          <w:szCs w:val="28"/>
          <w:u w:color="000000"/>
          <w:rtl w:val="0"/>
        </w:rPr>
        <w:t>ал</w:t>
      </w:r>
      <w:r>
        <w:rPr>
          <w:sz w:val="28"/>
          <w:szCs w:val="28"/>
          <w:u w:color="000000"/>
          <w:rtl w:val="0"/>
          <w:lang w:val="ru-RU"/>
        </w:rPr>
        <w:t xml:space="preserve">. 1 </w:t>
      </w:r>
      <w:r>
        <w:rPr>
          <w:sz w:val="28"/>
          <w:szCs w:val="28"/>
          <w:u w:color="000000"/>
          <w:rtl w:val="0"/>
        </w:rPr>
        <w:t>от Кодекса на труда и във връзка с политиката на предприятието за създаване на безопасни и здравословни условия на труд</w:t>
      </w:r>
      <w:r>
        <w:rPr>
          <w:sz w:val="28"/>
          <w:szCs w:val="28"/>
          <w:u w:color="000000"/>
          <w:rtl w:val="0"/>
        </w:rPr>
        <w:t xml:space="preserve">, </w:t>
      </w:r>
      <w:r>
        <w:rPr>
          <w:sz w:val="28"/>
          <w:szCs w:val="28"/>
          <w:u w:color="000000"/>
          <w:rtl w:val="0"/>
        </w:rPr>
        <w:t>както и с цел подобряване на превантивните мерки за управление на риска</w:t>
      </w:r>
      <w:r>
        <w:rPr>
          <w:sz w:val="28"/>
          <w:szCs w:val="28"/>
          <w:u w:color="000000"/>
          <w:rtl w:val="0"/>
        </w:rPr>
        <w:t>,</w:t>
      </w:r>
    </w:p>
    <w:p>
      <w:pPr>
        <w:pStyle w:val="Body A"/>
        <w:suppressAutoHyphens w:val="1"/>
        <w:rPr>
          <w:sz w:val="28"/>
          <w:szCs w:val="28"/>
          <w:u w:color="000000"/>
        </w:rPr>
      </w:pPr>
    </w:p>
    <w:p>
      <w:pPr>
        <w:pStyle w:val="Body A"/>
        <w:suppressAutoHyphens w:val="1"/>
        <w:jc w:val="center"/>
        <w:rPr>
          <w:b w:val="1"/>
          <w:bCs w:val="1"/>
          <w:sz w:val="28"/>
          <w:szCs w:val="28"/>
          <w:u w:color="000000"/>
        </w:rPr>
      </w:pPr>
      <w:r>
        <w:rPr>
          <w:b w:val="1"/>
          <w:bCs w:val="1"/>
          <w:sz w:val="28"/>
          <w:szCs w:val="28"/>
          <w:u w:color="000000"/>
          <w:rtl w:val="0"/>
          <w:lang w:val="ru-RU"/>
        </w:rPr>
        <w:t>НАРЕЖДАМ</w:t>
      </w:r>
      <w:r>
        <w:rPr>
          <w:b w:val="1"/>
          <w:bCs w:val="1"/>
          <w:sz w:val="28"/>
          <w:szCs w:val="28"/>
          <w:u w:color="000000"/>
          <w:rtl w:val="0"/>
          <w:lang w:val="ru-RU"/>
        </w:rPr>
        <w:t>:</w:t>
      </w:r>
    </w:p>
    <w:p>
      <w:pPr>
        <w:pStyle w:val="Body A"/>
        <w:suppressAutoHyphens w:val="1"/>
        <w:jc w:val="center"/>
        <w:rPr>
          <w:b w:val="1"/>
          <w:bCs w:val="1"/>
          <w:sz w:val="28"/>
          <w:szCs w:val="28"/>
          <w:u w:color="000000"/>
          <w:lang w:val="ru-RU"/>
        </w:rPr>
      </w:pPr>
    </w:p>
    <w:p>
      <w:pPr>
        <w:pStyle w:val="Body A"/>
        <w:suppressAutoHyphens w:val="1"/>
        <w:jc w:val="both"/>
        <w:rPr>
          <w:b w:val="1"/>
          <w:bCs w:val="1"/>
          <w:sz w:val="28"/>
          <w:szCs w:val="28"/>
          <w:u w:color="000000"/>
        </w:rPr>
      </w:pP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u w:color="000000"/>
          <w:rtl w:val="0"/>
          <w:lang w:val="ru-RU"/>
        </w:rPr>
        <w:t xml:space="preserve">Определям </w:t>
      </w:r>
      <w:r>
        <w:rPr>
          <w:sz w:val="28"/>
          <w:szCs w:val="28"/>
          <w:u w:color="000000"/>
          <w:rtl w:val="0"/>
        </w:rPr>
        <w:t>(</w:t>
      </w:r>
      <w:r>
        <w:rPr>
          <w:sz w:val="28"/>
          <w:szCs w:val="28"/>
          <w:u w:color="000000"/>
          <w:rtl w:val="0"/>
        </w:rPr>
        <w:t>Име</w:t>
      </w:r>
      <w:r>
        <w:rPr>
          <w:sz w:val="28"/>
          <w:szCs w:val="28"/>
          <w:u w:color="000000"/>
          <w:rtl w:val="0"/>
        </w:rPr>
        <w:t xml:space="preserve">, </w:t>
      </w:r>
      <w:r>
        <w:rPr>
          <w:sz w:val="28"/>
          <w:szCs w:val="28"/>
          <w:u w:color="000000"/>
          <w:rtl w:val="0"/>
          <w:lang w:val="ru-RU"/>
        </w:rPr>
        <w:t>Фамилия</w:t>
      </w:r>
      <w:r>
        <w:rPr>
          <w:sz w:val="28"/>
          <w:szCs w:val="28"/>
          <w:u w:color="000000"/>
          <w:rtl w:val="0"/>
        </w:rPr>
        <w:t xml:space="preserve">, </w:t>
      </w:r>
      <w:r>
        <w:rPr>
          <w:sz w:val="28"/>
          <w:szCs w:val="28"/>
          <w:u w:color="000000"/>
          <w:rtl w:val="0"/>
        </w:rPr>
        <w:t>Длъжностно лице по БЗР</w:t>
      </w:r>
      <w:r>
        <w:rPr>
          <w:sz w:val="28"/>
          <w:szCs w:val="28"/>
          <w:u w:color="000000"/>
          <w:rtl w:val="0"/>
        </w:rPr>
        <w:t xml:space="preserve">) </w:t>
      </w:r>
      <w:r>
        <w:rPr>
          <w:sz w:val="28"/>
          <w:szCs w:val="28"/>
          <w:u w:color="000000"/>
          <w:rtl w:val="0"/>
        </w:rPr>
        <w:t>за отговорно лице за воденето на регистър за инцидентите</w:t>
      </w:r>
      <w:r>
        <w:rPr>
          <w:sz w:val="28"/>
          <w:szCs w:val="28"/>
          <w:u w:color="000000"/>
          <w:rtl w:val="0"/>
        </w:rPr>
        <w:t xml:space="preserve">, </w:t>
      </w:r>
      <w:r>
        <w:rPr>
          <w:sz w:val="28"/>
          <w:szCs w:val="28"/>
          <w:u w:color="000000"/>
          <w:rtl w:val="0"/>
        </w:rPr>
        <w:t>които не попадат в категорията “трудови злополуки”</w:t>
      </w:r>
      <w:r>
        <w:rPr>
          <w:sz w:val="28"/>
          <w:szCs w:val="28"/>
          <w:u w:color="000000"/>
          <w:rtl w:val="0"/>
        </w:rPr>
        <w:t>.</w:t>
      </w:r>
    </w:p>
    <w:p>
      <w:pPr>
        <w:pStyle w:val="Body A"/>
        <w:suppressAutoHyphens w:val="1"/>
        <w:jc w:val="both"/>
        <w:rPr>
          <w:sz w:val="28"/>
          <w:szCs w:val="28"/>
          <w:u w:color="000000"/>
        </w:rPr>
      </w:pPr>
    </w:p>
    <w:p>
      <w:pPr>
        <w:pStyle w:val="Body A"/>
        <w:suppressAutoHyphens w:val="1"/>
        <w:jc w:val="both"/>
        <w:rPr>
          <w:sz w:val="28"/>
          <w:szCs w:val="28"/>
          <w:u w:color="000000"/>
        </w:rPr>
      </w:pPr>
      <w:r>
        <w:rPr>
          <w:sz w:val="28"/>
          <w:szCs w:val="28"/>
          <w:u w:color="000000"/>
          <w:rtl w:val="0"/>
        </w:rPr>
        <w:t xml:space="preserve">2. </w:t>
      </w:r>
      <w:r>
        <w:rPr>
          <w:sz w:val="28"/>
          <w:szCs w:val="28"/>
          <w:u w:color="000000"/>
          <w:rtl w:val="0"/>
        </w:rPr>
        <w:t>Отговорното лице има следните задължения</w:t>
      </w:r>
      <w:r>
        <w:rPr>
          <w:sz w:val="28"/>
          <w:szCs w:val="28"/>
          <w:u w:color="000000"/>
          <w:rtl w:val="0"/>
        </w:rPr>
        <w:t>:</w:t>
      </w:r>
    </w:p>
    <w:p>
      <w:pPr>
        <w:pStyle w:val="Body A"/>
        <w:numPr>
          <w:ilvl w:val="0"/>
          <w:numId w:val="4"/>
        </w:numPr>
        <w:suppressAutoHyphens w:val="1"/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u w:color="000000"/>
          <w:rtl w:val="0"/>
        </w:rPr>
        <w:t>Да документира всички инциденти</w:t>
      </w:r>
      <w:r>
        <w:rPr>
          <w:sz w:val="28"/>
          <w:szCs w:val="28"/>
          <w:u w:color="000000"/>
          <w:rtl w:val="0"/>
        </w:rPr>
        <w:t xml:space="preserve">, </w:t>
      </w:r>
      <w:r>
        <w:rPr>
          <w:sz w:val="28"/>
          <w:szCs w:val="28"/>
          <w:u w:color="000000"/>
          <w:rtl w:val="0"/>
        </w:rPr>
        <w:t>възникнали на територията на предприятието или свързани с работници и служители на предприятието</w:t>
      </w:r>
      <w:r>
        <w:rPr>
          <w:sz w:val="28"/>
          <w:szCs w:val="28"/>
          <w:u w:color="000000"/>
          <w:rtl w:val="0"/>
        </w:rPr>
        <w:t xml:space="preserve">, </w:t>
      </w:r>
      <w:r>
        <w:rPr>
          <w:sz w:val="28"/>
          <w:szCs w:val="28"/>
          <w:u w:color="000000"/>
          <w:rtl w:val="0"/>
        </w:rPr>
        <w:t>които не попадат в категорията “трудова злополука”</w:t>
      </w:r>
      <w:r>
        <w:rPr>
          <w:sz w:val="28"/>
          <w:szCs w:val="28"/>
          <w:u w:color="000000"/>
          <w:rtl w:val="0"/>
        </w:rPr>
        <w:t>.</w:t>
      </w:r>
    </w:p>
    <w:p>
      <w:pPr>
        <w:pStyle w:val="Body A"/>
        <w:numPr>
          <w:ilvl w:val="0"/>
          <w:numId w:val="4"/>
        </w:numPr>
        <w:suppressAutoHyphens w:val="1"/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u w:color="000000"/>
          <w:rtl w:val="0"/>
        </w:rPr>
        <w:t xml:space="preserve">Да поддържа регистър </w:t>
      </w:r>
      <w:r>
        <w:rPr>
          <w:sz w:val="28"/>
          <w:szCs w:val="28"/>
          <w:u w:color="000000"/>
          <w:rtl w:val="0"/>
        </w:rPr>
        <w:t>за разследване и превенция на инцидентите в електронен и</w:t>
      </w:r>
      <w:r>
        <w:rPr>
          <w:sz w:val="28"/>
          <w:szCs w:val="28"/>
          <w:u w:color="000000"/>
          <w:rtl w:val="0"/>
        </w:rPr>
        <w:t>/</w:t>
      </w:r>
      <w:r>
        <w:rPr>
          <w:sz w:val="28"/>
          <w:szCs w:val="28"/>
          <w:u w:color="000000"/>
          <w:rtl w:val="0"/>
        </w:rPr>
        <w:t>или хартиен вариант</w:t>
      </w:r>
      <w:r>
        <w:rPr>
          <w:sz w:val="28"/>
          <w:szCs w:val="28"/>
          <w:u w:color="000000"/>
          <w:rtl w:val="0"/>
        </w:rPr>
        <w:t>.</w:t>
      </w:r>
    </w:p>
    <w:p>
      <w:pPr>
        <w:pStyle w:val="Body A"/>
        <w:numPr>
          <w:ilvl w:val="0"/>
          <w:numId w:val="4"/>
        </w:numPr>
        <w:suppressAutoHyphens w:val="1"/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u w:color="000000"/>
          <w:rtl w:val="0"/>
        </w:rPr>
        <w:t>Да анализира данните и да идентивицира възможни превантивни мерки</w:t>
      </w:r>
      <w:r>
        <w:rPr>
          <w:sz w:val="28"/>
          <w:szCs w:val="28"/>
          <w:u w:color="000000"/>
          <w:rtl w:val="0"/>
        </w:rPr>
        <w:t>.</w:t>
      </w:r>
    </w:p>
    <w:p>
      <w:pPr>
        <w:pStyle w:val="Body A"/>
        <w:numPr>
          <w:ilvl w:val="0"/>
          <w:numId w:val="4"/>
        </w:numPr>
        <w:suppressAutoHyphens w:val="1"/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u w:color="000000"/>
          <w:rtl w:val="0"/>
        </w:rPr>
        <w:t>Да участва в комисията за разследване на инциденти и да съдейства на членовете на комисията</w:t>
      </w:r>
      <w:r>
        <w:rPr>
          <w:sz w:val="28"/>
          <w:szCs w:val="28"/>
          <w:u w:color="000000"/>
          <w:rtl w:val="0"/>
        </w:rPr>
        <w:t xml:space="preserve">, </w:t>
      </w:r>
      <w:r>
        <w:rPr>
          <w:sz w:val="28"/>
          <w:szCs w:val="28"/>
          <w:u w:color="000000"/>
          <w:rtl w:val="0"/>
        </w:rPr>
        <w:t>когато това е необходимо</w:t>
      </w:r>
      <w:r>
        <w:rPr>
          <w:sz w:val="28"/>
          <w:szCs w:val="28"/>
          <w:u w:color="000000"/>
          <w:rtl w:val="0"/>
        </w:rPr>
        <w:t>.</w:t>
      </w:r>
    </w:p>
    <w:p>
      <w:pPr>
        <w:pStyle w:val="Body A"/>
        <w:suppressAutoHyphens w:val="1"/>
        <w:jc w:val="both"/>
        <w:rPr>
          <w:sz w:val="28"/>
          <w:szCs w:val="28"/>
          <w:u w:color="000000"/>
        </w:rPr>
      </w:pPr>
    </w:p>
    <w:p>
      <w:pPr>
        <w:pStyle w:val="Body A"/>
        <w:suppressAutoHyphens w:val="1"/>
        <w:jc w:val="both"/>
        <w:rPr>
          <w:sz w:val="28"/>
          <w:szCs w:val="28"/>
          <w:u w:color="000000"/>
        </w:rPr>
      </w:pPr>
      <w:r>
        <w:rPr>
          <w:sz w:val="28"/>
          <w:szCs w:val="28"/>
          <w:u w:color="000000"/>
          <w:rtl w:val="0"/>
        </w:rPr>
        <w:t xml:space="preserve">3. </w:t>
      </w:r>
      <w:r>
        <w:rPr>
          <w:sz w:val="28"/>
          <w:szCs w:val="28"/>
          <w:u w:color="000000"/>
          <w:rtl w:val="0"/>
        </w:rPr>
        <w:t>Регистърът трябва да бъде поддържан в електронен и</w:t>
      </w:r>
      <w:r>
        <w:rPr>
          <w:sz w:val="28"/>
          <w:szCs w:val="28"/>
          <w:u w:color="000000"/>
          <w:rtl w:val="0"/>
        </w:rPr>
        <w:t>/</w:t>
      </w:r>
      <w:r>
        <w:rPr>
          <w:sz w:val="28"/>
          <w:szCs w:val="28"/>
          <w:u w:color="000000"/>
          <w:rtl w:val="0"/>
          <w:lang w:val="ru-RU"/>
        </w:rPr>
        <w:t>или хартиен вариант</w:t>
      </w:r>
      <w:r>
        <w:rPr>
          <w:sz w:val="28"/>
          <w:szCs w:val="28"/>
          <w:u w:color="000000"/>
          <w:rtl w:val="0"/>
        </w:rPr>
        <w:t xml:space="preserve">, </w:t>
      </w:r>
      <w:r>
        <w:rPr>
          <w:sz w:val="28"/>
          <w:szCs w:val="28"/>
          <w:u w:color="000000"/>
          <w:rtl w:val="0"/>
        </w:rPr>
        <w:t>като се гарантира неговата достоверност</w:t>
      </w:r>
      <w:r>
        <w:rPr>
          <w:sz w:val="28"/>
          <w:szCs w:val="28"/>
          <w:u w:color="000000"/>
          <w:rtl w:val="0"/>
        </w:rPr>
        <w:t xml:space="preserve">, </w:t>
      </w:r>
      <w:r>
        <w:rPr>
          <w:sz w:val="28"/>
          <w:szCs w:val="28"/>
          <w:u w:color="000000"/>
          <w:rtl w:val="0"/>
        </w:rPr>
        <w:t>актуалност и конфиденциалност при спазване на закона за защита на личните данни</w:t>
      </w:r>
      <w:r>
        <w:rPr>
          <w:sz w:val="28"/>
          <w:szCs w:val="28"/>
          <w:u w:color="000000"/>
          <w:rtl w:val="0"/>
        </w:rPr>
        <w:t>.</w:t>
      </w:r>
    </w:p>
    <w:p>
      <w:pPr>
        <w:pStyle w:val="Body A"/>
        <w:suppressAutoHyphens w:val="1"/>
        <w:jc w:val="both"/>
        <w:rPr>
          <w:sz w:val="28"/>
          <w:szCs w:val="28"/>
          <w:u w:color="000000"/>
        </w:rPr>
      </w:pPr>
    </w:p>
    <w:p>
      <w:pPr>
        <w:pStyle w:val="Body A"/>
        <w:suppressAutoHyphens w:val="1"/>
        <w:jc w:val="both"/>
        <w:rPr>
          <w:sz w:val="28"/>
          <w:szCs w:val="28"/>
          <w:u w:color="000000"/>
        </w:rPr>
      </w:pPr>
      <w:r>
        <w:rPr>
          <w:sz w:val="28"/>
          <w:szCs w:val="28"/>
          <w:u w:color="000000"/>
          <w:rtl w:val="0"/>
        </w:rPr>
        <w:t xml:space="preserve">3. </w:t>
      </w:r>
      <w:r>
        <w:rPr>
          <w:sz w:val="28"/>
          <w:szCs w:val="28"/>
          <w:u w:color="000000"/>
          <w:rtl w:val="0"/>
        </w:rPr>
        <w:t>Настоящата заповед е част от политиката за управление на безопасността и здравето при работа и има за цел да подобри разбирането на причините за инцидентите и да предотврати бъдещи неблагоприятни събития</w:t>
      </w:r>
      <w:r>
        <w:rPr>
          <w:sz w:val="28"/>
          <w:szCs w:val="28"/>
          <w:u w:color="000000"/>
          <w:rtl w:val="0"/>
        </w:rPr>
        <w:t xml:space="preserve">. </w:t>
      </w:r>
    </w:p>
    <w:p>
      <w:pPr>
        <w:pStyle w:val="Body"/>
        <w:suppressAutoHyphens w:val="1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suppressAutoHyphens w:val="1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Заповедта ми да се доведе до знанието на работещите за сведение и изпълнение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suppressAutoHyphens w:val="1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suppressAutoHyphens w:val="1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Контролът за изпълнение на заповедта възлагам на …………</w:t>
      </w:r>
    </w:p>
    <w:p>
      <w:pPr>
        <w:pStyle w:val="Body"/>
        <w:suppressAutoHyphens w:val="1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suppressAutoHyphens w:val="1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Настоящата заповед влиза в сила от датата на издаването й и е валидна до възникване на обстоятелства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налагащи нейната промяна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suppressAutoHyphens w:val="1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suppressAutoHyphens w:val="1"/>
        <w:rPr>
          <w:sz w:val="28"/>
          <w:szCs w:val="28"/>
          <w:u w:color="000000"/>
        </w:rPr>
      </w:pPr>
      <w:r>
        <w:rPr>
          <w:sz w:val="28"/>
          <w:szCs w:val="28"/>
          <w:u w:color="000000"/>
          <w:rtl w:val="0"/>
        </w:rPr>
        <w:t xml:space="preserve">                      </w:t>
      </w:r>
    </w:p>
    <w:p>
      <w:pPr>
        <w:pStyle w:val="Body A"/>
        <w:suppressAutoHyphens w:val="1"/>
        <w:rPr>
          <w:sz w:val="28"/>
          <w:szCs w:val="28"/>
          <w:u w:color="000000"/>
        </w:rPr>
      </w:pPr>
    </w:p>
    <w:p>
      <w:pPr>
        <w:pStyle w:val="Body A"/>
        <w:suppressAutoHyphens w:val="1"/>
        <w:rPr>
          <w:sz w:val="28"/>
          <w:szCs w:val="28"/>
          <w:u w:color="000000"/>
        </w:rPr>
      </w:pPr>
      <w:r>
        <w:rPr>
          <w:sz w:val="28"/>
          <w:szCs w:val="28"/>
          <w:u w:color="000000"/>
          <w:rtl w:val="0"/>
        </w:rPr>
        <w:t xml:space="preserve">                                                                                            </w:t>
      </w:r>
      <w:r>
        <w:rPr>
          <w:b w:val="1"/>
          <w:bCs w:val="1"/>
          <w:sz w:val="28"/>
          <w:szCs w:val="28"/>
          <w:u w:color="000000"/>
          <w:rtl w:val="0"/>
        </w:rPr>
        <w:t xml:space="preserve">          Управител</w:t>
      </w:r>
      <w:r>
        <w:rPr>
          <w:b w:val="1"/>
          <w:bCs w:val="1"/>
          <w:sz w:val="28"/>
          <w:szCs w:val="28"/>
          <w:u w:color="000000"/>
          <w:rtl w:val="0"/>
        </w:rPr>
        <w:t>:</w:t>
      </w:r>
      <w:r>
        <w:rPr>
          <w:sz w:val="28"/>
          <w:szCs w:val="28"/>
          <w:u w:color="000000"/>
          <w:rtl w:val="0"/>
        </w:rPr>
        <w:t xml:space="preserve"> ...............................</w:t>
      </w:r>
    </w:p>
    <w:p>
      <w:pPr>
        <w:pStyle w:val="Body A"/>
        <w:suppressAutoHyphens w:val="1"/>
        <w:rPr>
          <w:sz w:val="28"/>
          <w:szCs w:val="28"/>
          <w:u w:color="000000"/>
        </w:rPr>
      </w:pPr>
    </w:p>
    <w:p>
      <w:pPr>
        <w:pStyle w:val="Body A"/>
        <w:suppressAutoHyphens w:val="1"/>
      </w:pPr>
      <w:r>
        <w:rPr>
          <w:sz w:val="28"/>
          <w:szCs w:val="28"/>
          <w:u w:color="000000"/>
          <w:rtl w:val="0"/>
        </w:rPr>
        <w:t xml:space="preserve">                                                                                                                            ……………………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09" w:hanging="2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89" w:hanging="2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69" w:hanging="2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49" w:hanging="2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29" w:hanging="2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09" w:hanging="2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89" w:hanging="2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69" w:hanging="2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