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</w:pPr>
      <w:r>
        <w:rPr>
          <w:b w:val="1"/>
          <w:bCs w:val="1"/>
          <w:outline w:val="0"/>
          <w:color w:val="003366"/>
          <w:sz w:val="56"/>
          <w:szCs w:val="56"/>
          <w:u w:color="003366"/>
          <w:rtl w:val="0"/>
          <w14:textFill>
            <w14:solidFill>
              <w14:srgbClr w14:val="003366"/>
            </w14:solidFill>
          </w14:textFill>
        </w:rPr>
        <w:t>МЕТОДИКА</w:t>
        <w:br w:type="textWrapping"/>
        <w:t>ЗА ОЦЕНКА НА ДЛЪЖНОСТИ</w:t>
      </w:r>
      <w:r>
        <w:rPr>
          <w:b w:val="1"/>
          <w:bCs w:val="1"/>
          <w:outline w:val="0"/>
          <w:color w:val="003366"/>
          <w:sz w:val="56"/>
          <w:szCs w:val="56"/>
          <w:u w:color="003366"/>
          <w:rtl w:val="0"/>
          <w14:textFill>
            <w14:solidFill>
              <w14:srgbClr w14:val="003366"/>
            </w14:solidFill>
          </w14:textFill>
        </w:rPr>
        <w:t xml:space="preserve"> И ОБЕКТИВНО ОПРЕДЕЛЯНЕ НА ВЪЗНАГРАЖДЕНИЯТА</w:t>
      </w:r>
    </w:p>
    <w:p>
      <w:pPr>
        <w:pStyle w:val="Body"/>
      </w:pPr>
    </w:p>
    <w:p>
      <w:pPr>
        <w:pStyle w:val="Body"/>
      </w:pPr>
      <w:r>
        <w:rPr>
          <w:rtl w:val="0"/>
        </w:rPr>
        <w:t>Настоящата методика има за цел да осигури обективна</w:t>
      </w:r>
      <w:r>
        <w:rPr>
          <w:rtl w:val="0"/>
        </w:rPr>
        <w:t xml:space="preserve">, </w:t>
      </w:r>
      <w:r>
        <w:rPr>
          <w:rtl w:val="0"/>
        </w:rPr>
        <w:t>прозрачна и недискриминационна система за вътрешна оценка на длъжностите в организацията</w:t>
      </w:r>
      <w:r>
        <w:rPr>
          <w:rtl w:val="0"/>
        </w:rPr>
        <w:t xml:space="preserve"> и за обективно определяне на възнагражденията</w:t>
      </w:r>
      <w:r>
        <w:rPr>
          <w:rtl w:val="0"/>
        </w:rPr>
        <w:t xml:space="preserve">. </w:t>
      </w:r>
      <w:r>
        <w:rPr>
          <w:rtl w:val="0"/>
        </w:rPr>
        <w:t>Системата е разработена на принципите на равнопоставеност</w:t>
      </w:r>
      <w:r>
        <w:rPr>
          <w:rtl w:val="0"/>
        </w:rPr>
        <w:t xml:space="preserve">, </w:t>
      </w:r>
      <w:r>
        <w:rPr>
          <w:rtl w:val="0"/>
        </w:rPr>
        <w:t>измеримост и пазарна приложимост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Методиката не допуска оценяване въз основа на пол</w:t>
      </w:r>
      <w:r>
        <w:rPr>
          <w:rtl w:val="0"/>
        </w:rPr>
        <w:t xml:space="preserve">, </w:t>
      </w:r>
      <w:r>
        <w:rPr>
          <w:rtl w:val="0"/>
        </w:rPr>
        <w:t>възраст</w:t>
      </w:r>
      <w:r>
        <w:rPr>
          <w:rtl w:val="0"/>
        </w:rPr>
        <w:t xml:space="preserve">, </w:t>
      </w:r>
      <w:r>
        <w:rPr>
          <w:rtl w:val="0"/>
        </w:rPr>
        <w:t>етническа принадлежност</w:t>
      </w:r>
      <w:r>
        <w:rPr>
          <w:rtl w:val="0"/>
        </w:rPr>
        <w:t xml:space="preserve">, </w:t>
      </w:r>
      <w:r>
        <w:rPr>
          <w:rtl w:val="0"/>
          <w:lang w:val="ru-RU"/>
        </w:rPr>
        <w:t>религия</w:t>
      </w:r>
      <w:r>
        <w:rPr>
          <w:rtl w:val="0"/>
        </w:rPr>
        <w:t xml:space="preserve">, </w:t>
      </w:r>
      <w:r>
        <w:rPr>
          <w:rtl w:val="0"/>
        </w:rPr>
        <w:t>увреждане или други защитени признаци</w:t>
      </w:r>
      <w:r>
        <w:rPr>
          <w:rtl w:val="0"/>
        </w:rPr>
        <w:t xml:space="preserve">. </w:t>
      </w:r>
      <w:r>
        <w:rPr>
          <w:rtl w:val="0"/>
        </w:rPr>
        <w:t>Оценяването се извършва единствено въз основа на обективни показатели</w:t>
      </w:r>
      <w:r>
        <w:rPr>
          <w:rtl w:val="0"/>
        </w:rPr>
        <w:t xml:space="preserve">, </w:t>
      </w:r>
      <w:r>
        <w:rPr>
          <w:rtl w:val="0"/>
        </w:rPr>
        <w:t>свързани с естеството на труда</w:t>
      </w:r>
      <w:r>
        <w:rPr>
          <w:rtl w:val="0"/>
        </w:rPr>
        <w:t xml:space="preserve">, </w:t>
      </w:r>
      <w:r>
        <w:rPr>
          <w:rtl w:val="0"/>
          <w:lang w:val="ru-RU"/>
        </w:rPr>
        <w:t>сложността</w:t>
      </w:r>
      <w:r>
        <w:rPr>
          <w:rtl w:val="0"/>
        </w:rPr>
        <w:t xml:space="preserve">, </w:t>
      </w:r>
      <w:r>
        <w:rPr>
          <w:rtl w:val="0"/>
        </w:rPr>
        <w:t>отговорността и условията на работа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Настоящата политика е разработена в съответствие с принципите на равно възнаграждение за труд с равна стойност и прозрачност на възнагражденията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outline w:val="0"/>
          <w:color w:val="1f4e78"/>
          <w:sz w:val="32"/>
          <w:szCs w:val="32"/>
          <w:u w:color="1f4e78"/>
          <w:rtl w:val="0"/>
          <w14:textFill>
            <w14:solidFill>
              <w14:srgbClr w14:val="1F4E78"/>
            </w14:solidFill>
          </w14:textFill>
        </w:rPr>
        <w:t xml:space="preserve">1. </w:t>
      </w:r>
      <w:r>
        <w:rPr>
          <w:b w:val="1"/>
          <w:bCs w:val="1"/>
          <w:outline w:val="0"/>
          <w:color w:val="1f4e78"/>
          <w:sz w:val="32"/>
          <w:szCs w:val="32"/>
          <w:u w:color="1f4e78"/>
          <w:rtl w:val="0"/>
          <w14:textFill>
            <w14:solidFill>
              <w14:srgbClr w14:val="1F4E78"/>
            </w14:solidFill>
          </w14:textFill>
        </w:rPr>
        <w:t>ОБЕКТИВНИ КРИТЕРИИ ЗА ОПРЕДЕЛЯНЕ НА ВЪЗНАГРАЖДЕНИЕТО</w:t>
      </w:r>
    </w:p>
    <w:p>
      <w:pPr>
        <w:pStyle w:val="Body"/>
      </w:pPr>
      <w:r>
        <w:rPr>
          <w:rtl w:val="0"/>
        </w:rPr>
        <w:t>Възнагражденията се определят въз основа на</w:t>
      </w:r>
      <w:r>
        <w:rPr>
          <w:rtl w:val="0"/>
        </w:rPr>
        <w:t>:</w:t>
      </w:r>
      <w:r>
        <w:rPr>
          <w:rtl w:val="0"/>
        </w:rPr>
        <w:br w:type="textWrapping"/>
        <w:t>• знания и квалификация</w:t>
      </w:r>
      <w:r>
        <w:rPr>
          <w:rtl w:val="0"/>
        </w:rPr>
        <w:t>;</w:t>
      </w:r>
      <w:r>
        <w:rPr>
          <w:rtl w:val="0"/>
        </w:rPr>
        <w:br w:type="textWrapping"/>
        <w:t>• професионален опит</w:t>
      </w:r>
      <w:r>
        <w:rPr>
          <w:rtl w:val="0"/>
        </w:rPr>
        <w:t>;</w:t>
      </w:r>
      <w:r>
        <w:rPr>
          <w:rtl w:val="0"/>
        </w:rPr>
        <w:br w:type="textWrapping"/>
        <w:t>• отговорност</w:t>
      </w:r>
      <w:r>
        <w:rPr>
          <w:rtl w:val="0"/>
        </w:rPr>
        <w:t>;</w:t>
      </w:r>
      <w:r>
        <w:rPr>
          <w:rtl w:val="0"/>
        </w:rPr>
        <w:br w:type="textWrapping"/>
        <w:t>• сложност на труда</w:t>
      </w:r>
      <w:r>
        <w:rPr>
          <w:rtl w:val="0"/>
        </w:rPr>
        <w:t>;</w:t>
      </w:r>
      <w:r>
        <w:rPr>
          <w:rtl w:val="0"/>
        </w:rPr>
        <w:br w:type="textWrapping"/>
        <w:t>• условия на труд</w:t>
      </w:r>
      <w:r>
        <w:rPr>
          <w:rtl w:val="0"/>
        </w:rPr>
        <w:t>;</w:t>
      </w:r>
      <w:r>
        <w:rPr>
          <w:rtl w:val="0"/>
        </w:rPr>
        <w:br w:type="textWrapping"/>
        <w:t>• организационно въздействие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outline w:val="0"/>
          <w:color w:val="1f4e78"/>
          <w:sz w:val="32"/>
          <w:szCs w:val="32"/>
          <w:u w:color="1f4e78"/>
          <w:rtl w:val="0"/>
          <w14:textFill>
            <w14:solidFill>
              <w14:srgbClr w14:val="1F4E78"/>
            </w14:solidFill>
          </w14:textFill>
        </w:rPr>
        <w:t xml:space="preserve">2. </w:t>
      </w:r>
      <w:r>
        <w:rPr>
          <w:b w:val="1"/>
          <w:bCs w:val="1"/>
          <w:outline w:val="0"/>
          <w:color w:val="1f4e78"/>
          <w:sz w:val="32"/>
          <w:szCs w:val="32"/>
          <w:u w:color="1f4e78"/>
          <w:rtl w:val="0"/>
          <w14:textFill>
            <w14:solidFill>
              <w14:srgbClr w14:val="1F4E78"/>
            </w14:solidFill>
          </w14:textFill>
        </w:rPr>
        <w:t>ПРИНЦИП „ТРУД С РАВНА СТОЙНОСТ“</w:t>
      </w:r>
    </w:p>
    <w:p>
      <w:pPr>
        <w:pStyle w:val="Body"/>
      </w:pPr>
      <w:r>
        <w:rPr>
          <w:rtl w:val="0"/>
        </w:rPr>
        <w:t>Различни длъжности могат да бъдат класифицирани в еди</w:t>
      </w:r>
      <w:r>
        <w:rPr>
          <w:rtl w:val="0"/>
        </w:rPr>
        <w:t>о и също ниво</w:t>
      </w:r>
      <w:r>
        <w:rPr>
          <w:rtl w:val="0"/>
        </w:rPr>
        <w:t xml:space="preserve">, </w:t>
      </w:r>
      <w:r>
        <w:rPr>
          <w:rtl w:val="0"/>
        </w:rPr>
        <w:t>когато имат сходно ниво на отговорност</w:t>
      </w:r>
      <w:r>
        <w:rPr>
          <w:rtl w:val="0"/>
        </w:rPr>
        <w:t xml:space="preserve">, </w:t>
      </w:r>
      <w:r>
        <w:rPr>
          <w:rtl w:val="0"/>
        </w:rPr>
        <w:t>сложност и организационна стойност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outline w:val="0"/>
          <w:color w:val="1f4e78"/>
          <w:sz w:val="32"/>
          <w:szCs w:val="32"/>
          <w:u w:color="1f4e78"/>
          <w:rtl w:val="0"/>
          <w14:textFill>
            <w14:solidFill>
              <w14:srgbClr w14:val="1F4E78"/>
            </w14:solidFill>
          </w14:textFill>
        </w:rPr>
        <w:t xml:space="preserve">3. </w:t>
      </w:r>
      <w:r>
        <w:rPr>
          <w:b w:val="1"/>
          <w:bCs w:val="1"/>
          <w:outline w:val="0"/>
          <w:color w:val="1f4e78"/>
          <w:sz w:val="32"/>
          <w:szCs w:val="32"/>
          <w:u w:color="1f4e78"/>
          <w:rtl w:val="0"/>
          <w14:textFill>
            <w14:solidFill>
              <w14:srgbClr w14:val="1F4E78"/>
            </w14:solidFill>
          </w14:textFill>
        </w:rPr>
        <w:t>ДИАПАЗОНИ НА ВЪЗНАГРАЖДЕНИЯТА</w:t>
      </w:r>
    </w:p>
    <w:tbl>
      <w:tblPr>
        <w:tblW w:w="97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436"/>
        <w:gridCol w:w="2436"/>
        <w:gridCol w:w="2436"/>
        <w:gridCol w:w="2436"/>
      </w:tblGrid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1f4e7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1f4e7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" w:hAnsi="Cambria" w:hint="default"/>
                <w:rtl w:val="0"/>
                <w:lang w:val="en-US"/>
              </w:rPr>
              <w:t>Ниво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1f4e7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Степен</w:t>
            </w:r>
          </w:p>
        </w:tc>
        <w:tc>
          <w:tcPr>
            <w:tcW w:type="dxa" w:w="24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1f4e7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Диапазон възнаграждение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  <w:r>
              <w:rPr>
                <w:shd w:val="nil" w:color="auto" w:fill="auto"/>
                <w:rtl w:val="0"/>
                <w:lang w:val="en-US"/>
              </w:rPr>
              <w:t>–</w:t>
            </w:r>
            <w:r>
              <w:rPr>
                <w:shd w:val="nil" w:color="auto" w:fill="auto"/>
                <w:rtl w:val="0"/>
                <w:lang w:val="en-US"/>
              </w:rPr>
              <w:t>150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G1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Оперативно ниво</w:t>
            </w:r>
          </w:p>
        </w:tc>
        <w:tc>
          <w:tcPr>
            <w:tcW w:type="dxa" w:w="24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1600 </w:t>
            </w:r>
            <w:r>
              <w:rPr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shd w:val="nil" w:color="auto" w:fill="auto"/>
                <w:rtl w:val="0"/>
                <w:lang w:val="en-US"/>
              </w:rPr>
              <w:t xml:space="preserve">2200 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151</w:t>
            </w:r>
            <w:r>
              <w:rPr>
                <w:shd w:val="nil" w:color="auto" w:fill="auto"/>
                <w:rtl w:val="0"/>
                <w:lang w:val="en-US"/>
              </w:rPr>
              <w:t>–</w:t>
            </w:r>
            <w:r>
              <w:rPr>
                <w:shd w:val="nil" w:color="auto" w:fill="auto"/>
                <w:rtl w:val="0"/>
                <w:lang w:val="en-US"/>
              </w:rPr>
              <w:t>250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G2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Специалист</w:t>
            </w:r>
          </w:p>
        </w:tc>
        <w:tc>
          <w:tcPr>
            <w:tcW w:type="dxa" w:w="24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2200 </w:t>
            </w:r>
            <w:r>
              <w:rPr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shd w:val="nil" w:color="auto" w:fill="auto"/>
                <w:rtl w:val="0"/>
                <w:lang w:val="en-US"/>
              </w:rPr>
              <w:t xml:space="preserve">3200 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251</w:t>
            </w:r>
            <w:r>
              <w:rPr>
                <w:shd w:val="nil" w:color="auto" w:fill="auto"/>
                <w:rtl w:val="0"/>
                <w:lang w:val="en-US"/>
              </w:rPr>
              <w:t>–</w:t>
            </w:r>
            <w:r>
              <w:rPr>
                <w:shd w:val="nil" w:color="auto" w:fill="auto"/>
                <w:rtl w:val="0"/>
                <w:lang w:val="en-US"/>
              </w:rPr>
              <w:t>400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G3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Старши специалист</w:t>
            </w:r>
          </w:p>
        </w:tc>
        <w:tc>
          <w:tcPr>
            <w:tcW w:type="dxa" w:w="24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3200 </w:t>
            </w:r>
            <w:r>
              <w:rPr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shd w:val="nil" w:color="auto" w:fill="auto"/>
                <w:rtl w:val="0"/>
                <w:lang w:val="en-US"/>
              </w:rPr>
              <w:t xml:space="preserve">5000 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401</w:t>
            </w:r>
            <w:r>
              <w:rPr>
                <w:shd w:val="nil" w:color="auto" w:fill="auto"/>
                <w:rtl w:val="0"/>
                <w:lang w:val="en-US"/>
              </w:rPr>
              <w:t>–</w:t>
            </w:r>
            <w:r>
              <w:rPr>
                <w:shd w:val="nil" w:color="auto" w:fill="auto"/>
                <w:rtl w:val="0"/>
                <w:lang w:val="en-US"/>
              </w:rPr>
              <w:t>550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G4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Мениджърско ниво</w:t>
            </w:r>
          </w:p>
        </w:tc>
        <w:tc>
          <w:tcPr>
            <w:tcW w:type="dxa" w:w="24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5000 </w:t>
            </w:r>
            <w:r>
              <w:rPr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shd w:val="nil" w:color="auto" w:fill="auto"/>
                <w:rtl w:val="0"/>
                <w:lang w:val="en-US"/>
              </w:rPr>
              <w:t xml:space="preserve">8000 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551</w:t>
            </w:r>
            <w:r>
              <w:rPr>
                <w:shd w:val="nil" w:color="auto" w:fill="auto"/>
                <w:rtl w:val="0"/>
                <w:lang w:val="en-US"/>
              </w:rPr>
              <w:t>–</w:t>
            </w:r>
            <w:r>
              <w:rPr>
                <w:shd w:val="nil" w:color="auto" w:fill="auto"/>
                <w:rtl w:val="0"/>
                <w:lang w:val="en-US"/>
              </w:rPr>
              <w:t>700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G5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Стратегическо ниво</w:t>
            </w:r>
          </w:p>
        </w:tc>
        <w:tc>
          <w:tcPr>
            <w:tcW w:type="dxa" w:w="24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Индивидуално договаряне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  <w:r>
        <w:rPr>
          <w:b w:val="1"/>
          <w:bCs w:val="1"/>
          <w:outline w:val="0"/>
          <w:color w:val="1f4e78"/>
          <w:sz w:val="32"/>
          <w:szCs w:val="32"/>
          <w:u w:color="1f4e78"/>
          <w:rtl w:val="0"/>
          <w14:textFill>
            <w14:solidFill>
              <w14:srgbClr w14:val="1F4E78"/>
            </w14:solidFill>
          </w14:textFill>
        </w:rPr>
        <w:t xml:space="preserve">4. </w:t>
      </w:r>
      <w:r>
        <w:rPr>
          <w:b w:val="1"/>
          <w:bCs w:val="1"/>
          <w:outline w:val="0"/>
          <w:color w:val="1f4e78"/>
          <w:sz w:val="32"/>
          <w:szCs w:val="32"/>
          <w:u w:color="1f4e78"/>
          <w:rtl w:val="0"/>
          <w14:textFill>
            <w14:solidFill>
              <w14:srgbClr w14:val="1F4E78"/>
            </w14:solidFill>
          </w14:textFill>
        </w:rPr>
        <w:t>КОНТРОЛ</w:t>
      </w:r>
    </w:p>
    <w:p>
      <w:pPr>
        <w:pStyle w:val="Body"/>
      </w:pPr>
      <w:r>
        <w:rPr>
          <w:b w:val="1"/>
          <w:bCs w:val="1"/>
          <w:rtl w:val="0"/>
        </w:rPr>
        <w:t xml:space="preserve">• </w:t>
      </w:r>
      <w:r>
        <w:rPr>
          <w:rtl w:val="0"/>
        </w:rPr>
        <w:t xml:space="preserve">Оценките се валидират от </w:t>
      </w:r>
      <w:r>
        <w:rPr>
          <w:rtl w:val="0"/>
        </w:rPr>
        <w:t xml:space="preserve">HR </w:t>
      </w:r>
      <w:r>
        <w:rPr>
          <w:rtl w:val="0"/>
          <w:lang w:val="ru-RU"/>
        </w:rPr>
        <w:t>комисия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rtl w:val="0"/>
        </w:rPr>
        <w:t xml:space="preserve">• </w:t>
      </w:r>
      <w:r>
        <w:rPr>
          <w:rtl w:val="0"/>
        </w:rPr>
        <w:t>Методиката се преразглежда ежегодно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rtl w:val="0"/>
        </w:rPr>
        <w:t xml:space="preserve">• </w:t>
      </w:r>
      <w:r>
        <w:rPr>
          <w:rtl w:val="0"/>
        </w:rPr>
        <w:t>Промяна в длъжността изисква нова оценка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outline w:val="0"/>
          <w:color w:val="1f4e78"/>
          <w:sz w:val="32"/>
          <w:szCs w:val="32"/>
          <w:u w:color="1f4e78"/>
          <w:rtl w:val="0"/>
          <w14:textFill>
            <w14:solidFill>
              <w14:srgbClr w14:val="1F4E78"/>
            </w14:solidFill>
          </w14:textFill>
        </w:rPr>
        <w:t xml:space="preserve">5. </w:t>
      </w:r>
      <w:r>
        <w:rPr>
          <w:b w:val="1"/>
          <w:bCs w:val="1"/>
          <w:outline w:val="0"/>
          <w:color w:val="1f4e78"/>
          <w:sz w:val="32"/>
          <w:szCs w:val="32"/>
          <w:u w:color="1f4e78"/>
          <w:rtl w:val="0"/>
          <w14:textFill>
            <w14:solidFill>
              <w14:srgbClr w14:val="1F4E78"/>
            </w14:solidFill>
          </w14:textFill>
        </w:rPr>
        <w:t>ПРАВА НА СЛУЖИТЕЛИТЕ</w:t>
      </w:r>
    </w:p>
    <w:p>
      <w:pPr>
        <w:pStyle w:val="Body"/>
      </w:pPr>
      <w:r>
        <w:rPr>
          <w:rtl w:val="0"/>
        </w:rPr>
        <w:t>Служителите имат право да получат информация относно</w:t>
      </w:r>
      <w:r>
        <w:rPr>
          <w:rtl w:val="0"/>
        </w:rPr>
        <w:t>:</w:t>
      </w:r>
      <w:r>
        <w:rPr>
          <w:rtl w:val="0"/>
        </w:rPr>
        <w:br w:type="textWrapping"/>
        <w:t>• критериите за оценяване</w:t>
      </w:r>
      <w:r>
        <w:rPr>
          <w:rtl w:val="0"/>
        </w:rPr>
        <w:t>;</w:t>
      </w:r>
      <w:r>
        <w:rPr>
          <w:rtl w:val="0"/>
        </w:rPr>
        <w:br w:type="textWrapping"/>
        <w:t>• диапазона на възнаграждението</w:t>
      </w:r>
      <w:r>
        <w:rPr>
          <w:rtl w:val="0"/>
        </w:rPr>
        <w:t>;</w:t>
      </w:r>
      <w:r>
        <w:rPr>
          <w:rtl w:val="0"/>
        </w:rPr>
        <w:br w:type="textWrapping"/>
        <w:t>• процедурата за преразглеждане</w:t>
      </w:r>
      <w:r>
        <w:rPr>
          <w:rtl w:val="0"/>
        </w:rPr>
        <w:t>.</w:t>
      </w:r>
    </w:p>
    <w:p>
      <w:pPr>
        <w:pStyle w:val="Body"/>
      </w:pPr>
      <w:r>
        <w:rPr>
          <w:b w:val="1"/>
          <w:bCs w:val="1"/>
          <w:outline w:val="0"/>
          <w:color w:val="1f4e78"/>
          <w:sz w:val="36"/>
          <w:szCs w:val="36"/>
          <w:u w:color="1f4e78"/>
          <w:rtl w:val="0"/>
          <w14:textFill>
            <w14:solidFill>
              <w14:srgbClr w14:val="1F4E78"/>
            </w14:solidFill>
          </w14:textFill>
        </w:rPr>
        <w:t>6</w:t>
      </w:r>
      <w:r>
        <w:rPr>
          <w:b w:val="1"/>
          <w:bCs w:val="1"/>
          <w:outline w:val="0"/>
          <w:color w:val="1f4e78"/>
          <w:sz w:val="36"/>
          <w:szCs w:val="36"/>
          <w:u w:color="1f4e78"/>
          <w:rtl w:val="0"/>
          <w14:textFill>
            <w14:solidFill>
              <w14:srgbClr w14:val="1F4E78"/>
            </w14:solidFill>
          </w14:textFill>
        </w:rPr>
        <w:t xml:space="preserve">. </w:t>
      </w:r>
      <w:r>
        <w:rPr>
          <w:b w:val="1"/>
          <w:bCs w:val="1"/>
          <w:outline w:val="0"/>
          <w:color w:val="1f4e78"/>
          <w:sz w:val="36"/>
          <w:szCs w:val="36"/>
          <w:u w:color="1f4e78"/>
          <w:rtl w:val="0"/>
          <w14:textFill>
            <w14:solidFill>
              <w14:srgbClr w14:val="1F4E78"/>
            </w14:solidFill>
          </w14:textFill>
        </w:rPr>
        <w:t>РАЗПРЕДЕЛЕНИЕ НА ТОЧКИТЕ</w:t>
      </w:r>
    </w:p>
    <w:p>
      <w:pPr>
        <w:pStyle w:val="Body"/>
      </w:pPr>
      <w:r>
        <w:drawing xmlns:a="http://schemas.openxmlformats.org/drawingml/2006/main">
          <wp:inline distT="0" distB="0" distL="0" distR="0">
            <wp:extent cx="5303521" cy="3673179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1" cy="36731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9747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249"/>
        <w:gridCol w:w="3249"/>
        <w:gridCol w:w="3249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1f4e7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Стълб</w:t>
            </w:r>
          </w:p>
        </w:tc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1f4e7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1f4e7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Макс</w:t>
            </w:r>
            <w:r>
              <w:rPr>
                <w:shd w:val="nil" w:color="auto" w:fill="auto"/>
                <w:rtl w:val="0"/>
                <w:lang w:val="en-US"/>
              </w:rPr>
              <w:t xml:space="preserve">. </w:t>
            </w: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Умения и квалификация</w:t>
            </w:r>
          </w:p>
        </w:tc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200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Усилия и сложност</w:t>
            </w:r>
          </w:p>
        </w:tc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140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Отговорност</w:t>
            </w:r>
          </w:p>
        </w:tc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210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Условия на труд и ергономия</w:t>
            </w:r>
          </w:p>
        </w:tc>
        <w:tc>
          <w:tcPr>
            <w:tcW w:type="dxa" w:w="32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150</w:t>
            </w:r>
          </w:p>
        </w:tc>
      </w:tr>
    </w:tbl>
    <w:p>
      <w:pPr>
        <w:pStyle w:val="Body"/>
        <w:widowControl w:val="0"/>
        <w:spacing w:line="240" w:lineRule="auto"/>
        <w:jc w:val="center"/>
      </w:pPr>
    </w:p>
    <w:p>
      <w:pPr>
        <w:pStyle w:val="Body"/>
        <w:jc w:val="center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ru-RU"/>
        </w:rPr>
        <w:t>Максимален брой точки</w:t>
      </w:r>
      <w:r>
        <w:rPr>
          <w:i w:val="1"/>
          <w:iCs w:val="1"/>
          <w:sz w:val="24"/>
          <w:szCs w:val="24"/>
          <w:rtl w:val="0"/>
        </w:rPr>
        <w:t>: 700</w:t>
      </w:r>
    </w:p>
    <w:p>
      <w:pPr>
        <w:pStyle w:val="Body"/>
        <w:jc w:val="center"/>
        <w:rPr>
          <w:i w:val="1"/>
          <w:iCs w:val="1"/>
          <w:sz w:val="24"/>
          <w:szCs w:val="24"/>
        </w:rPr>
      </w:pPr>
    </w:p>
    <w:p>
      <w:pPr>
        <w:pStyle w:val="Body"/>
      </w:pPr>
      <w:r>
        <w:rPr>
          <w:b w:val="1"/>
          <w:bCs w:val="1"/>
          <w:outline w:val="0"/>
          <w:color w:val="1f4e78"/>
          <w:sz w:val="36"/>
          <w:szCs w:val="36"/>
          <w:u w:color="1f4e78"/>
          <w:rtl w:val="0"/>
          <w14:textFill>
            <w14:solidFill>
              <w14:srgbClr w14:val="1F4E78"/>
            </w14:solidFill>
          </w14:textFill>
        </w:rPr>
        <w:t>7</w:t>
      </w:r>
      <w:r>
        <w:rPr>
          <w:b w:val="1"/>
          <w:bCs w:val="1"/>
          <w:outline w:val="0"/>
          <w:color w:val="1f4e78"/>
          <w:sz w:val="36"/>
          <w:szCs w:val="36"/>
          <w:u w:color="1f4e78"/>
          <w:rtl w:val="0"/>
          <w14:textFill>
            <w14:solidFill>
              <w14:srgbClr w14:val="1F4E78"/>
            </w14:solidFill>
          </w14:textFill>
        </w:rPr>
        <w:t xml:space="preserve">. </w:t>
      </w:r>
      <w:r>
        <w:rPr>
          <w:b w:val="1"/>
          <w:bCs w:val="1"/>
          <w:outline w:val="0"/>
          <w:color w:val="1f4e78"/>
          <w:sz w:val="36"/>
          <w:szCs w:val="36"/>
          <w:u w:color="1f4e78"/>
          <w:rtl w:val="0"/>
          <w14:textFill>
            <w14:solidFill>
              <w14:srgbClr w14:val="1F4E78"/>
            </w14:solidFill>
          </w14:textFill>
        </w:rPr>
        <w:t>ПРИМЕРНА ОЦЕНКА НА ДЛЪЖНОСТ</w:t>
      </w:r>
    </w:p>
    <w:p>
      <w:pPr>
        <w:pStyle w:val="Body"/>
      </w:pPr>
      <w:r>
        <w:rPr>
          <w:rtl w:val="0"/>
        </w:rPr>
        <w:t>Примерна длъжност</w:t>
      </w:r>
      <w:r>
        <w:rPr>
          <w:rtl w:val="0"/>
        </w:rPr>
        <w:t xml:space="preserve">: HR </w:t>
      </w:r>
      <w:r>
        <w:rPr>
          <w:rtl w:val="0"/>
        </w:rPr>
        <w:t>Мениджър</w:t>
      </w:r>
    </w:p>
    <w:tbl>
      <w:tblPr>
        <w:tblW w:w="97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436"/>
        <w:gridCol w:w="2436"/>
        <w:gridCol w:w="2436"/>
        <w:gridCol w:w="2436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Критерий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24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Обосновка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Образование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50</w:t>
            </w:r>
          </w:p>
        </w:tc>
        <w:tc>
          <w:tcPr>
            <w:tcW w:type="dxa" w:w="24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Магистър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Професионален опит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35</w:t>
            </w:r>
          </w:p>
        </w:tc>
        <w:tc>
          <w:tcPr>
            <w:tcW w:type="dxa" w:w="24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3 </w:t>
            </w:r>
            <w:r>
              <w:rPr>
                <w:shd w:val="nil" w:color="auto" w:fill="auto"/>
                <w:rtl w:val="0"/>
                <w:lang w:val="en-US"/>
              </w:rPr>
              <w:t>години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Soft Skills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20</w:t>
            </w:r>
          </w:p>
        </w:tc>
        <w:tc>
          <w:tcPr>
            <w:tcW w:type="dxa" w:w="24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Управление на конфликти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Отговорност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24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30</w:t>
            </w:r>
          </w:p>
        </w:tc>
        <w:tc>
          <w:tcPr>
            <w:tcW w:type="dxa" w:w="24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Работа с чувствителни данни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  <w:r>
        <w:rPr>
          <w:rtl w:val="0"/>
        </w:rPr>
        <w:t>Общ примерен резултат</w:t>
      </w:r>
      <w:r>
        <w:rPr>
          <w:rtl w:val="0"/>
        </w:rPr>
        <w:t xml:space="preserve">: 135 </w:t>
      </w:r>
      <w:r>
        <w:rPr>
          <w:rtl w:val="0"/>
          <w:lang w:val="ru-RU"/>
        </w:rPr>
        <w:t>точки</w:t>
      </w:r>
      <w:r>
        <w:rPr>
          <w:rtl w:val="0"/>
        </w:rPr>
        <w:t xml:space="preserve">/ </w:t>
      </w:r>
      <w:r>
        <w:rPr>
          <w:rtl w:val="0"/>
        </w:rPr>
        <w:t>Диапазон на заплащане</w:t>
      </w:r>
      <w:r>
        <w:rPr>
          <w:rtl w:val="0"/>
        </w:rPr>
        <w:t xml:space="preserve">: </w:t>
      </w:r>
      <w:r>
        <w:rPr>
          <w:rtl w:val="0"/>
          <w:lang w:val="en-US"/>
        </w:rPr>
        <w:t xml:space="preserve">1600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 xml:space="preserve">2200 </w:t>
      </w:r>
      <w:r>
        <w:rPr>
          <w:rtl w:val="0"/>
          <w:lang w:val="en-US"/>
        </w:rPr>
        <w:t xml:space="preserve"> </w:t>
      </w:r>
      <w:r>
        <w:rPr>
          <w:i w:val="1"/>
          <w:iCs w:val="1"/>
          <w:rtl w:val="0"/>
          <w:lang w:val="en-US"/>
        </w:rPr>
        <w:t>(</w:t>
      </w:r>
      <w:r>
        <w:rPr>
          <w:i w:val="1"/>
          <w:iCs w:val="1"/>
          <w:rtl w:val="0"/>
          <w:lang w:val="en-US"/>
        </w:rPr>
        <w:t>В диапазона също е необходимо да се направи обективна оценка</w:t>
      </w:r>
      <w:r>
        <w:rPr>
          <w:i w:val="1"/>
          <w:iCs w:val="1"/>
          <w:rtl w:val="0"/>
          <w:lang w:val="en-US"/>
        </w:rPr>
        <w:t>)</w:t>
      </w: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003366"/>
          <w:sz w:val="36"/>
          <w:szCs w:val="36"/>
          <w:u w:color="003366"/>
          <w:rtl w:val="0"/>
          <w14:textFill>
            <w14:solidFill>
              <w14:srgbClr w14:val="003366"/>
            </w14:solidFill>
          </w14:textFill>
        </w:rPr>
        <w:t xml:space="preserve">8. </w:t>
      </w:r>
      <w:r>
        <w:rPr>
          <w:b w:val="1"/>
          <w:bCs w:val="1"/>
          <w:outline w:val="0"/>
          <w:color w:val="003366"/>
          <w:sz w:val="36"/>
          <w:szCs w:val="36"/>
          <w:u w:color="003366"/>
          <w:rtl w:val="0"/>
          <w14:textFill>
            <w14:solidFill>
              <w14:srgbClr w14:val="003366"/>
            </w14:solidFill>
          </w14:textFill>
        </w:rPr>
        <w:t>МЕТОДИКА ЗА ОЦЕНКА</w:t>
      </w:r>
    </w:p>
    <w:p>
      <w:pPr>
        <w:pStyle w:val="Body"/>
      </w:pPr>
    </w:p>
    <w:p>
      <w:pPr>
        <w:pStyle w:val="Body"/>
        <w:shd w:val="clear" w:color="auto" w:fill="1f4e78"/>
      </w:pP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 xml:space="preserve">СТЪЛБ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:lang w:val="ru-RU"/>
          <w14:textFill>
            <w14:solidFill>
              <w14:srgbClr w14:val="FFFFFF"/>
            </w14:solidFill>
          </w14:textFill>
        </w:rPr>
        <w:t xml:space="preserve">1: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 xml:space="preserve">Умения и квалификация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>(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>Макс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 xml:space="preserve">. 200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:lang w:val="ru-RU"/>
          <w14:textFill>
            <w14:solidFill>
              <w14:srgbClr w14:val="FFFFFF"/>
            </w14:solidFill>
          </w14:textFill>
        </w:rPr>
        <w:t>точки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>)</w:t>
      </w: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1.1.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Образование и квалификация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Средно общо образование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20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Средно специално</w:t>
            </w:r>
            <w:r>
              <w:rPr>
                <w:shd w:val="nil" w:color="auto" w:fill="auto"/>
                <w:rtl w:val="0"/>
                <w:lang w:val="en-US"/>
              </w:rPr>
              <w:t>/</w:t>
            </w:r>
            <w:r>
              <w:rPr>
                <w:shd w:val="nil" w:color="auto" w:fill="auto"/>
                <w:rtl w:val="0"/>
                <w:lang w:val="en-US"/>
              </w:rPr>
              <w:t>професионално образование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35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Висше образование – „Бакалавър“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50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Висше образование – „Магистър“ или „Доктор“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1.2.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:lang w:val="ru-RU"/>
          <w14:textFill>
            <w14:solidFill>
              <w14:srgbClr w14:val="1F4E79"/>
            </w14:solidFill>
          </w14:textFill>
        </w:rPr>
        <w:t>Професионален опит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До </w:t>
            </w:r>
            <w:r>
              <w:rPr>
                <w:shd w:val="nil" w:color="auto" w:fill="auto"/>
                <w:rtl w:val="0"/>
                <w:lang w:val="en-US"/>
              </w:rPr>
              <w:t xml:space="preserve">1 </w:t>
            </w:r>
            <w:r>
              <w:rPr>
                <w:shd w:val="nil" w:color="auto" w:fill="auto"/>
                <w:rtl w:val="0"/>
                <w:lang w:val="en-US"/>
              </w:rPr>
              <w:t>година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20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От </w:t>
            </w:r>
            <w:r>
              <w:rPr>
                <w:shd w:val="nil" w:color="auto" w:fill="auto"/>
                <w:rtl w:val="0"/>
                <w:lang w:val="en-US"/>
              </w:rPr>
              <w:t xml:space="preserve">1 </w:t>
            </w:r>
            <w:r>
              <w:rPr>
                <w:shd w:val="nil" w:color="auto" w:fill="auto"/>
                <w:rtl w:val="0"/>
                <w:lang w:val="en-US"/>
              </w:rPr>
              <w:t xml:space="preserve">до </w:t>
            </w:r>
            <w:r>
              <w:rPr>
                <w:shd w:val="nil" w:color="auto" w:fill="auto"/>
                <w:rtl w:val="0"/>
                <w:lang w:val="en-US"/>
              </w:rPr>
              <w:t xml:space="preserve">3 </w:t>
            </w:r>
            <w:r>
              <w:rPr>
                <w:shd w:val="nil" w:color="auto" w:fill="auto"/>
                <w:rtl w:val="0"/>
                <w:lang w:val="en-US"/>
              </w:rPr>
              <w:t>години опит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35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От </w:t>
            </w:r>
            <w:r>
              <w:rPr>
                <w:shd w:val="nil" w:color="auto" w:fill="auto"/>
                <w:rtl w:val="0"/>
                <w:lang w:val="en-US"/>
              </w:rPr>
              <w:t xml:space="preserve">3 </w:t>
            </w:r>
            <w:r>
              <w:rPr>
                <w:shd w:val="nil" w:color="auto" w:fill="auto"/>
                <w:rtl w:val="0"/>
                <w:lang w:val="en-US"/>
              </w:rPr>
              <w:t xml:space="preserve">до </w:t>
            </w:r>
            <w:r>
              <w:rPr>
                <w:shd w:val="nil" w:color="auto" w:fill="auto"/>
                <w:rtl w:val="0"/>
                <w:lang w:val="en-US"/>
              </w:rPr>
              <w:t xml:space="preserve">5 </w:t>
            </w:r>
            <w:r>
              <w:rPr>
                <w:shd w:val="nil" w:color="auto" w:fill="auto"/>
                <w:rtl w:val="0"/>
                <w:lang w:val="en-US"/>
              </w:rPr>
              <w:t>години специализиран опит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50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Над </w:t>
            </w:r>
            <w:r>
              <w:rPr>
                <w:shd w:val="nil" w:color="auto" w:fill="auto"/>
                <w:rtl w:val="0"/>
                <w:lang w:val="en-US"/>
              </w:rPr>
              <w:t xml:space="preserve">5 </w:t>
            </w:r>
            <w:r>
              <w:rPr>
                <w:shd w:val="nil" w:color="auto" w:fill="auto"/>
                <w:rtl w:val="0"/>
                <w:lang w:val="en-US"/>
              </w:rPr>
              <w:t>години експертен опит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1.3.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Специализации и сертификати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Не се изискват сертификати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Изискват се държавни</w:t>
            </w:r>
            <w:r>
              <w:rPr>
                <w:shd w:val="nil" w:color="auto" w:fill="auto"/>
                <w:rtl w:val="0"/>
                <w:lang w:val="en-US"/>
              </w:rPr>
              <w:t>/</w:t>
            </w:r>
            <w:r>
              <w:rPr>
                <w:shd w:val="nil" w:color="auto" w:fill="auto"/>
                <w:rtl w:val="0"/>
                <w:lang w:val="en-US"/>
              </w:rPr>
              <w:t>браншови сертификати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30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Международно признати квалификации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1.4.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Езикова грамотност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Работа само на български език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Работно владеене на чужд език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25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Свободно владеене на чужд език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1.5.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Компютърна грамотност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Базова компютърна грамотност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Работа със специализиран софтуер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25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Програмиране и системна администрация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1.6.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Меки умения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(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:lang w:val="en-US"/>
          <w14:textFill>
            <w14:solidFill>
              <w14:srgbClr w14:val="1F4E79"/>
            </w14:solidFill>
          </w14:textFill>
        </w:rPr>
        <w:t>Soft Skills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)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Стандартна колегиална комуникация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Преговори и презентиране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20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Управление на конфликти и висока емпатия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  <w:shd w:val="clear" w:color="auto" w:fill="1f4e78"/>
      </w:pP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 xml:space="preserve">СТЪЛБ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 xml:space="preserve">2: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 xml:space="preserve">Усилия и сложност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>(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>Макс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 xml:space="preserve">. 140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:lang w:val="ru-RU"/>
          <w14:textFill>
            <w14:solidFill>
              <w14:srgbClr w14:val="FFFFFF"/>
            </w14:solidFill>
          </w14:textFill>
        </w:rPr>
        <w:t>точки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>)</w:t>
      </w: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2.1.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Секторни специфики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Стабилен и предвидим бранш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25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Динамичен и конкурентен сектор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40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Силно регулиран сектор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2.2.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Аналитичност и решаване на проблеми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Рутинни задачи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25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Анализ и избор между алтернативи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40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Стратегическо мислене и иновации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2.3.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Психическо натоварване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Предвидимо темпо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25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Динамична среда с </w:t>
            </w:r>
            <w:r>
              <w:rPr>
                <w:shd w:val="nil" w:color="auto" w:fill="auto"/>
                <w:rtl w:val="0"/>
                <w:lang w:val="en-US"/>
              </w:rPr>
              <w:t>deadlines.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60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Изключително висок стрес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  <w:shd w:val="clear" w:color="auto" w:fill="1f4e78"/>
      </w:pP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 xml:space="preserve">СТЪЛБ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:lang w:val="ru-RU"/>
          <w14:textFill>
            <w14:solidFill>
              <w14:srgbClr w14:val="FFFFFF"/>
            </w14:solidFill>
          </w14:textFill>
        </w:rPr>
        <w:t xml:space="preserve">3: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 xml:space="preserve">Отговорност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>(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>Макс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 xml:space="preserve">. 210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:lang w:val="ru-RU"/>
          <w14:textFill>
            <w14:solidFill>
              <w14:srgbClr w14:val="FFFFFF"/>
            </w14:solidFill>
          </w14:textFill>
        </w:rPr>
        <w:t>точки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>)</w:t>
      </w: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3.1.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:lang w:val="ru-RU"/>
          <w14:textFill>
            <w14:solidFill>
              <w14:srgbClr w14:val="1F4E79"/>
            </w14:solidFill>
          </w14:textFill>
        </w:rPr>
        <w:t>Финансово отражение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Минимално финансово отражение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30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Отговорност за клиенти и бюджети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60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Ключови клиенти и стратегически сегменти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3.2.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Управление на хора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Без управленска отговорност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20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Малък екип или менторство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40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Ръководство на отдел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60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Стратегическо управление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3.3.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Конфиденциалност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Стандартна информация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20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Чувствителни данни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40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Стратегическо </w:t>
            </w:r>
            <w:r>
              <w:rPr>
                <w:shd w:val="nil" w:color="auto" w:fill="auto"/>
                <w:rtl w:val="0"/>
                <w:lang w:val="en-US"/>
              </w:rPr>
              <w:t>know-how.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3.4.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:lang w:val="ru-RU"/>
          <w14:textFill>
            <w14:solidFill>
              <w14:srgbClr w14:val="1F4E79"/>
            </w14:solidFill>
          </w14:textFill>
        </w:rPr>
        <w:t>Здраве и безопасност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Лична безопасност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Безопасност на екипа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50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Отговорност за живота и здравето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  <w:shd w:val="clear" w:color="auto" w:fill="1f4e78"/>
      </w:pP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 xml:space="preserve">СТЪЛБ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:lang w:val="de-DE"/>
          <w14:textFill>
            <w14:solidFill>
              <w14:srgbClr w14:val="FFFFFF"/>
            </w14:solidFill>
          </w14:textFill>
        </w:rPr>
        <w:t xml:space="preserve">4: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 xml:space="preserve">Условия на труд и ергономия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>(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>Макс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 xml:space="preserve">. 150 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:lang w:val="ru-RU"/>
          <w14:textFill>
            <w14:solidFill>
              <w14:srgbClr w14:val="FFFFFF"/>
            </w14:solidFill>
          </w14:textFill>
        </w:rPr>
        <w:t>точки</w:t>
      </w:r>
      <w:r>
        <w:rPr>
          <w:b w:val="1"/>
          <w:bCs w:val="1"/>
          <w:outline w:val="0"/>
          <w:color w:val="ffffff"/>
          <w:sz w:val="32"/>
          <w:szCs w:val="32"/>
          <w:u w:color="ffffff"/>
          <w:rtl w:val="0"/>
          <w14:textFill>
            <w14:solidFill>
              <w14:srgbClr w14:val="FFFFFF"/>
            </w14:solidFill>
          </w14:textFill>
        </w:rPr>
        <w:t>)</w:t>
      </w: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4.1.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Работно време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Стандартно работно време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25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Сменен режим или дежурства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50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Нощен труд или </w:t>
            </w:r>
            <w:r>
              <w:rPr>
                <w:shd w:val="nil" w:color="auto" w:fill="auto"/>
                <w:rtl w:val="0"/>
                <w:lang w:val="en-US"/>
              </w:rPr>
              <w:t>on-call.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4.2.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Физическа среда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Офис или </w:t>
            </w:r>
            <w:r>
              <w:rPr>
                <w:shd w:val="nil" w:color="auto" w:fill="auto"/>
                <w:rtl w:val="0"/>
                <w:lang w:val="en-US"/>
              </w:rPr>
              <w:t>home office.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20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Пътувания и работа на открито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40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Опасни условия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4.3.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Работа с клиенти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Вътрешна позиция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Дистанционна комуникация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30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Директна работа с клиенти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4.4.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:lang w:val="ru-RU"/>
          <w14:textFill>
            <w14:solidFill>
              <w14:srgbClr w14:val="1F4E79"/>
            </w14:solidFill>
          </w14:textFill>
        </w:rPr>
        <w:t>Монотонност</w:t>
      </w:r>
    </w:p>
    <w:tbl>
      <w:tblPr>
        <w:tblW w:w="99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12"/>
        <w:gridCol w:w="3312"/>
        <w:gridCol w:w="331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Описание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Разнообразни движения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15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Продължително седене или стоене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Ниво </w:t>
            </w: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30 </w:t>
            </w:r>
            <w:r>
              <w:rPr>
                <w:shd w:val="nil" w:color="auto" w:fill="auto"/>
                <w:rtl w:val="0"/>
                <w:lang w:val="en-US"/>
              </w:rPr>
              <w:t>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3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Повтарящи се физически движения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  <w:r>
        <w:rPr>
          <w:b w:val="1"/>
          <w:bCs w:val="1"/>
          <w:outline w:val="0"/>
          <w:color w:val="003366"/>
          <w:sz w:val="36"/>
          <w:szCs w:val="36"/>
          <w:u w:color="003366"/>
          <w:rtl w:val="0"/>
          <w14:textFill>
            <w14:solidFill>
              <w14:srgbClr w14:val="003366"/>
            </w14:solidFill>
          </w14:textFill>
        </w:rPr>
        <w:t>ПРИЛОЖЕНИЕ №</w:t>
      </w:r>
      <w:r>
        <w:rPr>
          <w:b w:val="1"/>
          <w:bCs w:val="1"/>
          <w:outline w:val="0"/>
          <w:color w:val="003366"/>
          <w:sz w:val="36"/>
          <w:szCs w:val="36"/>
          <w:u w:color="003366"/>
          <w:rtl w:val="0"/>
          <w14:textFill>
            <w14:solidFill>
              <w14:srgbClr w14:val="003366"/>
            </w14:solidFill>
          </w14:textFill>
        </w:rPr>
        <w:t>1</w:t>
      </w:r>
      <w:r>
        <w:rPr>
          <w:b w:val="1"/>
          <w:bCs w:val="1"/>
          <w:outline w:val="0"/>
          <w:color w:val="003366"/>
          <w:sz w:val="36"/>
          <w:szCs w:val="36"/>
          <w:u w:color="003366"/>
          <w:rtl w:val="0"/>
          <w14:textFill>
            <w14:solidFill>
              <w14:srgbClr w14:val="003366"/>
            </w14:solidFill>
          </w14:textFill>
        </w:rPr>
        <w:br w:type="textWrapping"/>
        <w:t>ДЕТАЙЛЕН ФОРМУЛЯР ЗА ОЦЕНКА НА ДЛЪЖНОСТ</w:t>
      </w:r>
    </w:p>
    <w:p>
      <w:pPr>
        <w:pStyle w:val="Body"/>
      </w:pPr>
    </w:p>
    <w:tbl>
      <w:tblPr>
        <w:tblW w:w="974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73"/>
        <w:gridCol w:w="4873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Име и фамилия</w:t>
            </w:r>
          </w:p>
        </w:tc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Длъжност</w:t>
            </w:r>
          </w:p>
        </w:tc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Отдел</w:t>
            </w:r>
            <w:r>
              <w:rPr>
                <w:shd w:val="nil" w:color="auto" w:fill="auto"/>
                <w:rtl w:val="0"/>
                <w:lang w:val="en-US"/>
              </w:rPr>
              <w:t>/</w:t>
            </w:r>
            <w:r>
              <w:rPr>
                <w:shd w:val="nil" w:color="auto" w:fill="auto"/>
                <w:rtl w:val="0"/>
                <w:lang w:val="en-US"/>
              </w:rPr>
              <w:t>Дирекция</w:t>
            </w:r>
          </w:p>
        </w:tc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Оценяващ</w:t>
            </w:r>
          </w:p>
        </w:tc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Дата</w:t>
            </w:r>
          </w:p>
        </w:tc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tbl>
      <w:tblPr>
        <w:tblW w:w="97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624"/>
        <w:gridCol w:w="1624"/>
        <w:gridCol w:w="1624"/>
        <w:gridCol w:w="1624"/>
        <w:gridCol w:w="1624"/>
        <w:gridCol w:w="1624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1f4e7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Код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1f4e7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Критерий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1f4e7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Ниво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1f4e7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Точки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1f4e7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Обосновка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1f4e7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Подпис</w:t>
            </w:r>
          </w:p>
        </w:tc>
      </w:tr>
      <w:tr>
        <w:tblPrEx>
          <w:shd w:val="clear" w:color="auto" w:fill="ced7e7"/>
        </w:tblPrEx>
        <w:trPr>
          <w:trHeight w:val="97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1.1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Образование и квалификация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1.2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Професионален опит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1.3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Специализации и сертификати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1.4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Езикова грамотност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1.5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Компютърна грамотност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1.6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Soft Skills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2.1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Секторни специфики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2.2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Аналитичност и решаване на проблеми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2.3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Психическо натоварване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3.1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Финансово отражение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3.2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Управление на хора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3.3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Конфиденциалност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3.4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Здраве и безопасност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4.1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Работно време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4.2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Физическа среда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4.3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Работа с клиенти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4.4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Монотонност</w:t>
            </w:r>
          </w:p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tbl>
      <w:tblPr>
        <w:tblW w:w="974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73"/>
        <w:gridCol w:w="4873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Общ брой точки</w:t>
            </w:r>
          </w:p>
        </w:tc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Категория на длъжността</w:t>
            </w:r>
          </w:p>
        </w:tc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Дата на </w:t>
            </w:r>
            <w:r>
              <w:rPr>
                <w:shd w:val="nil" w:color="auto" w:fill="auto"/>
                <w:rtl w:val="0"/>
                <w:lang w:val="en-US"/>
              </w:rPr>
              <w:t>валидиране</w:t>
            </w:r>
          </w:p>
        </w:tc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Комисия</w:t>
            </w:r>
          </w:p>
        </w:tc>
        <w:tc>
          <w:tcPr>
            <w:tcW w:type="dxa" w:w="4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  <w:r>
        <w:br w:type="textWrapping"/>
      </w:r>
    </w:p>
    <w:p>
      <w:pPr>
        <w:pStyle w:val="Body"/>
      </w:pPr>
      <w:r>
        <w:rPr>
          <w:rtl w:val="0"/>
          <w:lang w:val="ru-RU"/>
        </w:rPr>
        <w:t xml:space="preserve">Подпис </w:t>
      </w:r>
      <w:r>
        <w:rPr>
          <w:rtl w:val="0"/>
          <w:lang w:val="en-US"/>
        </w:rPr>
        <w:t>HR: __________________________</w:t>
      </w:r>
    </w:p>
    <w:p>
      <w:pPr>
        <w:pStyle w:val="Body"/>
      </w:pPr>
      <w:r>
        <w:rPr>
          <w:rtl w:val="0"/>
        </w:rPr>
        <w:t>Подпис Ръководител</w:t>
      </w:r>
      <w:r>
        <w:rPr>
          <w:rtl w:val="0"/>
          <w:lang w:val="en-US"/>
        </w:rPr>
        <w:t>: __________________________</w:t>
      </w:r>
    </w:p>
    <w:p>
      <w:pPr>
        <w:pStyle w:val="Body"/>
      </w:pPr>
      <w:r>
        <w:rPr>
          <w:rtl w:val="0"/>
        </w:rPr>
        <w:t>Подпис Служител</w:t>
      </w:r>
      <w:r>
        <w:rPr>
          <w:rtl w:val="0"/>
          <w:lang w:val="en-US"/>
        </w:rPr>
        <w:t>: __________________________</w:t>
      </w:r>
    </w:p>
    <w:sectPr>
      <w:headerReference w:type="default" r:id="rId5"/>
      <w:footerReference w:type="default" r:id="rId6"/>
      <w:pgSz w:w="12240" w:h="15840" w:orient="portrait"/>
      <w:pgMar w:top="1008" w:right="1152" w:bottom="1008" w:left="1152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mbria" w:cs="Arial Unicode MS" w:hAnsi="Cambri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